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ind w:left="426" w:firstLine="0"/>
        <w:rPr>
          <w:sz w:val="36"/>
          <w:szCs w:val="36"/>
        </w:rPr>
      </w:pPr>
      <w:r>
        <w:rPr>
          <w:sz w:val="40"/>
          <w:szCs w:val="40"/>
          <w:rtl w:val="0"/>
          <w:lang w:val="en-US"/>
        </w:rPr>
        <w:t>APPG Inquiry: Housing for those living with Dementia</w:t>
      </w:r>
    </w:p>
    <w:p>
      <w:pPr>
        <w:pStyle w:val="Normal.0"/>
      </w:pPr>
    </w:p>
    <w:p>
      <w:pPr>
        <w:pStyle w:val="Subtitle"/>
        <w:ind w:left="426" w:firstLine="0"/>
        <w:rPr>
          <w:sz w:val="36"/>
          <w:szCs w:val="36"/>
        </w:rPr>
      </w:pPr>
      <w:r>
        <w:rPr>
          <w:outline w:val="0"/>
          <w:color w:val="000000"/>
          <w:sz w:val="36"/>
          <w:szCs w:val="36"/>
          <w:u w:color="000000"/>
          <w14:textFill>
            <w14:solidFill>
              <w14:srgbClr w14:val="000000"/>
            </w14:solidFill>
          </w14:textFill>
        </w:rPr>
        <mc:AlternateContent>
          <mc:Choice Requires="wps">
            <w:drawing>
              <wp:anchor distT="0" distB="0" distL="0" distR="0" simplePos="0" relativeHeight="251657216" behindDoc="1" locked="0" layoutInCell="1" allowOverlap="1">
                <wp:simplePos x="0" y="0"/>
                <wp:positionH relativeFrom="page">
                  <wp:posOffset>718185</wp:posOffset>
                </wp:positionH>
                <wp:positionV relativeFrom="page">
                  <wp:posOffset>1738630</wp:posOffset>
                </wp:positionV>
                <wp:extent cx="6470650" cy="4508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470650" cy="45085"/>
                        </a:xfrm>
                        <a:prstGeom prst="rect">
                          <a:avLst/>
                        </a:prstGeom>
                        <a:solidFill>
                          <a:srgbClr val="2E74B5"/>
                        </a:solidFill>
                        <a:ln w="6350" cap="flat">
                          <a:solidFill>
                            <a:srgbClr val="2E74B5"/>
                          </a:solidFill>
                          <a:prstDash val="solid"/>
                          <a:round/>
                        </a:ln>
                        <a:effectLst/>
                      </wps:spPr>
                      <wps:bodyPr/>
                    </wps:wsp>
                  </a:graphicData>
                </a:graphic>
              </wp:anchor>
            </w:drawing>
          </mc:Choice>
          <mc:Fallback>
            <w:pict>
              <v:rect id="_x0000_s1026" style="visibility:visible;position:absolute;margin-left:56.5pt;margin-top:136.9pt;width:509.5pt;height:3.5pt;z-index:-251659264;mso-position-horizontal:absolute;mso-position-horizontal-relative:page;mso-position-vertical:absolute;mso-position-vertical-relative:page;mso-wrap-distance-left:0.0pt;mso-wrap-distance-top:0.0pt;mso-wrap-distance-right:0.0pt;mso-wrap-distance-bottom:0.0pt;">
                <v:fill color="#2E74B5" opacity="100.0%" type="solid"/>
                <v:stroke filltype="solid" color="#2E74B5" opacity="100.0%" weight="0.5pt" dashstyle="solid" endcap="flat" joinstyle="round" linestyle="single" startarrow="none" startarrowwidth="medium" startarrowlength="medium" endarrow="none" endarrowwidth="medium" endarrowlength="medium"/>
                <w10:wrap type="none" side="bothSides" anchorx="page" anchory="page"/>
              </v:rect>
            </w:pict>
          </mc:Fallback>
        </mc:AlternateContent>
      </w:r>
      <w:r>
        <w:rPr>
          <w:sz w:val="36"/>
          <w:szCs w:val="36"/>
          <w:rtl w:val="0"/>
          <w:lang w:val="en-US"/>
        </w:rPr>
        <w:t xml:space="preserve">Erosh response </w:t>
      </w:r>
      <w:r>
        <w:rPr>
          <w:sz w:val="36"/>
          <w:szCs w:val="36"/>
          <w:rtl w:val="0"/>
          <w:lang w:val="en-US"/>
        </w:rPr>
        <w:t xml:space="preserve">– </w:t>
      </w:r>
      <w:r>
        <w:rPr>
          <w:sz w:val="36"/>
          <w:szCs w:val="36"/>
          <w:rtl w:val="0"/>
          <w:lang w:val="en-US"/>
        </w:rPr>
        <w:t>June 2020</w:t>
      </w:r>
    </w:p>
    <w:p>
      <w:pPr>
        <w:pStyle w:val="Normal.0"/>
      </w:pPr>
    </w:p>
    <w:p>
      <w:pPr>
        <w:pStyle w:val="Heading 1"/>
        <w:numPr>
          <w:ilvl w:val="0"/>
          <w:numId w:val="2"/>
        </w:numPr>
      </w:pPr>
      <w:r>
        <w:rPr>
          <w:rtl w:val="0"/>
          <w:lang w:val="en-US"/>
        </w:rPr>
        <w:t xml:space="preserve">Introductory information </w:t>
      </w:r>
      <w:r>
        <w:rPr>
          <w:sz w:val="24"/>
          <w:szCs w:val="24"/>
          <w:rtl w:val="0"/>
          <w:lang w:val="en-US"/>
        </w:rPr>
        <w:t>(from</w:t>
      </w:r>
      <w:r>
        <w:rPr>
          <w:outline w:val="0"/>
          <w:color w:val="0070c0"/>
          <w:sz w:val="24"/>
          <w:szCs w:val="24"/>
          <w:u w:color="0070c0"/>
          <w:rtl w:val="0"/>
          <w:lang w:val="en-US"/>
          <w14:textFill>
            <w14:solidFill>
              <w14:srgbClr w14:val="0070C0"/>
            </w14:solidFill>
          </w14:textFill>
        </w:rPr>
        <w:t xml:space="preserve"> the </w:t>
      </w:r>
      <w:r>
        <w:rPr>
          <w:rStyle w:val="Hyperlink.0"/>
        </w:rPr>
        <w:fldChar w:fldCharType="begin" w:fldLock="0"/>
      </w:r>
      <w:r>
        <w:rPr>
          <w:rStyle w:val="Hyperlink.0"/>
        </w:rPr>
        <w:instrText xml:space="preserve"> HYPERLINK "https://www.housinglin.org.uk/Topics/browse/HousingandDementia/appg-inquiry-housing-and-dementia/"</w:instrText>
      </w:r>
      <w:r>
        <w:rPr>
          <w:rStyle w:val="Hyperlink.0"/>
        </w:rPr>
        <w:fldChar w:fldCharType="separate" w:fldLock="0"/>
      </w:r>
      <w:r>
        <w:rPr>
          <w:rStyle w:val="Hyperlink.0"/>
          <w:rtl w:val="0"/>
        </w:rPr>
        <w:t>APPG webpage</w:t>
      </w:r>
      <w:r>
        <w:rPr/>
        <w:fldChar w:fldCharType="end" w:fldLock="0"/>
      </w:r>
      <w:r>
        <w:rPr>
          <w:sz w:val="24"/>
          <w:szCs w:val="24"/>
          <w:rtl w:val="0"/>
          <w:lang w:val="en-US"/>
        </w:rPr>
        <w:t>)</w:t>
      </w:r>
    </w:p>
    <w:p>
      <w:pPr>
        <w:pStyle w:val="Para"/>
        <w:ind w:right="0"/>
        <w:rPr>
          <w:i w:val="1"/>
          <w:iCs w:val="1"/>
        </w:rPr>
      </w:pPr>
      <w:r>
        <w:rPr>
          <w:i w:val="1"/>
          <w:iCs w:val="1"/>
          <w:rtl w:val="0"/>
          <w:lang w:val="en-US"/>
        </w:rPr>
        <w:t>There are currently around 850,000 people with dementia in the UK, according to the Alzheimer</w:t>
      </w:r>
      <w:r>
        <w:rPr>
          <w:i w:val="1"/>
          <w:iCs w:val="1"/>
          <w:rtl w:val="0"/>
          <w:lang w:val="en-US"/>
        </w:rPr>
        <w:t>’</w:t>
      </w:r>
      <w:r>
        <w:rPr>
          <w:i w:val="1"/>
          <w:iCs w:val="1"/>
          <w:rtl w:val="0"/>
          <w:lang w:val="en-US"/>
        </w:rPr>
        <w:t xml:space="preserve">s Society. This is projected to rise to 1.6 million by 2040. Two thirds of these are not living in residential care but in their own accommodation, and our study will consider the policies and practices that can enhance independence and quality of life. </w:t>
      </w:r>
    </w:p>
    <w:p>
      <w:pPr>
        <w:pStyle w:val="Normal.0"/>
        <w:rPr>
          <w:i w:val="1"/>
          <w:iCs w:val="1"/>
        </w:rPr>
      </w:pPr>
      <w:r>
        <w:rPr>
          <w:rFonts w:cs="Arial Unicode MS" w:eastAsia="Arial Unicode MS"/>
          <w:i w:val="1"/>
          <w:iCs w:val="1"/>
          <w:rtl w:val="0"/>
          <w:lang w:val="en-US"/>
        </w:rPr>
        <w:t xml:space="preserve">The Officers of the APPG have decided to establish an Inquiry on </w:t>
      </w:r>
      <w:r>
        <w:rPr>
          <w:rFonts w:cs="Arial Unicode MS" w:eastAsia="Arial Unicode MS" w:hint="default"/>
          <w:i w:val="1"/>
          <w:iCs w:val="1"/>
          <w:rtl w:val="0"/>
          <w:lang w:val="en-US"/>
        </w:rPr>
        <w:t>“</w:t>
      </w:r>
      <w:r>
        <w:rPr>
          <w:rFonts w:cs="Arial Unicode MS" w:eastAsia="Arial Unicode MS"/>
          <w:i w:val="1"/>
          <w:iCs w:val="1"/>
          <w:rtl w:val="0"/>
          <w:lang w:val="en-US"/>
        </w:rPr>
        <w:t>Housing for those living with Dementia</w:t>
      </w:r>
      <w:r>
        <w:rPr>
          <w:rFonts w:cs="Arial Unicode MS" w:eastAsia="Arial Unicode MS" w:hint="default"/>
          <w:i w:val="1"/>
          <w:iCs w:val="1"/>
          <w:rtl w:val="0"/>
          <w:lang w:val="en-US"/>
        </w:rPr>
        <w:t>”</w:t>
      </w:r>
      <w:r>
        <w:rPr>
          <w:rFonts w:cs="Arial Unicode MS" w:eastAsia="Arial Unicode MS"/>
          <w:i w:val="1"/>
          <w:iCs w:val="1"/>
          <w:rtl w:val="0"/>
          <w:lang w:val="en-US"/>
        </w:rPr>
        <w:t>.</w:t>
      </w:r>
    </w:p>
    <w:p>
      <w:pPr>
        <w:pStyle w:val="Normal.0"/>
        <w:rPr>
          <w:i w:val="1"/>
          <w:iCs w:val="1"/>
        </w:rPr>
      </w:pPr>
      <w:r>
        <w:rPr>
          <w:rFonts w:cs="Arial Unicode MS" w:eastAsia="Arial Unicode MS"/>
          <w:i w:val="1"/>
          <w:iCs w:val="1"/>
          <w:rtl w:val="0"/>
          <w:lang w:val="en-US"/>
        </w:rPr>
        <w:t xml:space="preserve">Launched on 13 May 2020, there will be four Inquiry sessions over the course of this year. Expert </w:t>
      </w:r>
      <w:r>
        <w:rPr>
          <w:rFonts w:cs="Arial Unicode MS" w:eastAsia="Arial Unicode MS" w:hint="default"/>
          <w:i w:val="1"/>
          <w:iCs w:val="1"/>
          <w:rtl w:val="0"/>
          <w:lang w:val="en-US"/>
        </w:rPr>
        <w:t>‘</w:t>
      </w:r>
      <w:r>
        <w:rPr>
          <w:rFonts w:cs="Arial Unicode MS" w:eastAsia="Arial Unicode MS"/>
          <w:i w:val="1"/>
          <w:iCs w:val="1"/>
          <w:rtl w:val="0"/>
          <w:lang w:val="en-US"/>
        </w:rPr>
        <w:t>witnesses</w:t>
      </w:r>
      <w:r>
        <w:rPr>
          <w:rFonts w:cs="Arial Unicode MS" w:eastAsia="Arial Unicode MS" w:hint="default"/>
          <w:i w:val="1"/>
          <w:iCs w:val="1"/>
          <w:rtl w:val="0"/>
          <w:lang w:val="en-US"/>
        </w:rPr>
        <w:t xml:space="preserve">’ </w:t>
      </w:r>
      <w:r>
        <w:rPr>
          <w:rFonts w:cs="Arial Unicode MS" w:eastAsia="Arial Unicode MS"/>
          <w:i w:val="1"/>
          <w:iCs w:val="1"/>
          <w:rtl w:val="0"/>
          <w:lang w:val="en-US"/>
        </w:rPr>
        <w:t>will present at each session. These will cover dementia-friendly design/development of new homes, changes and adaptations to existing properties, ongoing input of care and support, including consideration of innovations in technological support. We intend to produce a report in March 2021 which:</w:t>
      </w:r>
    </w:p>
    <w:p>
      <w:pPr>
        <w:pStyle w:val="Bulleted list"/>
        <w:numPr>
          <w:ilvl w:val="0"/>
          <w:numId w:val="4"/>
        </w:numPr>
        <w:bidi w:val="0"/>
        <w:ind w:right="40"/>
        <w:jc w:val="left"/>
        <w:rPr>
          <w:i w:val="1"/>
          <w:iCs w:val="1"/>
          <w:rtl w:val="0"/>
          <w:lang w:val="en-US"/>
        </w:rPr>
      </w:pPr>
      <w:r>
        <w:rPr>
          <w:i w:val="1"/>
          <w:iCs w:val="1"/>
          <w:rtl w:val="0"/>
          <w:lang w:val="en-US"/>
        </w:rPr>
        <w:t>makes recommendations to central and local government and other key players</w:t>
      </w:r>
    </w:p>
    <w:p>
      <w:pPr>
        <w:pStyle w:val="Bulleted list"/>
        <w:numPr>
          <w:ilvl w:val="0"/>
          <w:numId w:val="4"/>
        </w:numPr>
        <w:bidi w:val="0"/>
        <w:ind w:right="40"/>
        <w:jc w:val="left"/>
        <w:rPr>
          <w:i w:val="1"/>
          <w:iCs w:val="1"/>
          <w:rtl w:val="0"/>
          <w:lang w:val="en-US"/>
        </w:rPr>
      </w:pPr>
      <w:r>
        <w:rPr>
          <w:i w:val="1"/>
          <w:iCs w:val="1"/>
          <w:rtl w:val="0"/>
          <w:lang w:val="en-US"/>
        </w:rPr>
        <w:t>provides guidance and stimulates interest for housing providers with an interest in older people</w:t>
      </w:r>
    </w:p>
    <w:p>
      <w:pPr>
        <w:pStyle w:val="Heading 1"/>
        <w:numPr>
          <w:ilvl w:val="0"/>
          <w:numId w:val="5"/>
        </w:numPr>
      </w:pPr>
      <w:r>
        <w:rPr>
          <w:rtl w:val="0"/>
          <w:lang w:val="en-US"/>
        </w:rPr>
        <w:t>Themes</w:t>
      </w:r>
    </w:p>
    <w:p>
      <w:pPr>
        <w:pStyle w:val="Para"/>
      </w:pPr>
      <w:r>
        <w:rPr>
          <w:rtl w:val="0"/>
          <w:lang w:val="en-US"/>
        </w:rPr>
        <w:t>There are five key themes in relation to which evidence is being sought:</w:t>
      </w:r>
    </w:p>
    <w:p>
      <w:pPr>
        <w:pStyle w:val="Bullets A"/>
        <w:numPr>
          <w:ilvl w:val="0"/>
          <w:numId w:val="7"/>
        </w:numPr>
      </w:pPr>
      <w:r>
        <w:rPr>
          <w:rtl w:val="0"/>
          <w:lang w:val="en-US"/>
        </w:rPr>
        <w:t>Links between housing, health and social care to improve the journey of people affected by dementia.</w:t>
      </w:r>
    </w:p>
    <w:p>
      <w:pPr>
        <w:pStyle w:val="Bullets A"/>
        <w:numPr>
          <w:ilvl w:val="0"/>
          <w:numId w:val="7"/>
        </w:numPr>
      </w:pPr>
      <w:r>
        <w:rPr>
          <w:rtl w:val="0"/>
          <w:lang w:val="en-US"/>
        </w:rPr>
        <w:t>Design of new homes.</w:t>
      </w:r>
    </w:p>
    <w:p>
      <w:pPr>
        <w:pStyle w:val="Bullets A"/>
        <w:numPr>
          <w:ilvl w:val="0"/>
          <w:numId w:val="7"/>
        </w:numPr>
      </w:pPr>
      <w:r>
        <w:rPr>
          <w:rtl w:val="0"/>
          <w:lang w:val="en-US"/>
        </w:rPr>
        <w:t>How to increase supply of specialist dementia-friendly properties.</w:t>
      </w:r>
    </w:p>
    <w:p>
      <w:pPr>
        <w:pStyle w:val="Bullets A"/>
        <w:numPr>
          <w:ilvl w:val="0"/>
          <w:numId w:val="7"/>
        </w:numPr>
      </w:pPr>
      <w:r>
        <w:rPr>
          <w:rtl w:val="0"/>
          <w:lang w:val="en-US"/>
        </w:rPr>
        <w:t xml:space="preserve">Changes and adaptations to existing properties to enable people to live well with dementia at home. </w:t>
      </w:r>
    </w:p>
    <w:p>
      <w:pPr>
        <w:pStyle w:val="Bullets A"/>
        <w:numPr>
          <w:ilvl w:val="0"/>
          <w:numId w:val="7"/>
        </w:numPr>
      </w:pPr>
      <w:r>
        <w:rPr>
          <w:rtl w:val="0"/>
          <w:lang w:val="en-US"/>
        </w:rPr>
        <w:t>The role of innovative technology to improve the delivery of better care and support.</w:t>
      </w:r>
    </w:p>
    <w:p>
      <w:pPr>
        <w:pStyle w:val="Para"/>
      </w:pPr>
    </w:p>
    <w:p>
      <w:pPr>
        <w:pStyle w:val="Para"/>
      </w:pPr>
      <w:r>
        <w:rPr>
          <w:rtl w:val="0"/>
          <w:lang w:val="en-US"/>
        </w:rPr>
        <w:t>Under each of these headings on the following pages (green boxes) please share your thoughts and responses. Please provide case studies if you can as these are always valuable. We will then collate these into our final submission.</w:t>
      </w:r>
    </w:p>
    <w:p>
      <w:pPr>
        <w:pStyle w:val="Normal.0"/>
        <w:rPr>
          <w:b w:val="1"/>
          <w:bCs w:val="1"/>
        </w:rPr>
      </w:pPr>
      <w:r>
        <w:rPr>
          <w:rFonts w:cs="Arial Unicode MS" w:eastAsia="Arial Unicode MS"/>
          <w:b w:val="1"/>
          <w:bCs w:val="1"/>
          <w:rtl w:val="0"/>
          <w:lang w:val="en-US"/>
        </w:rPr>
        <w:t xml:space="preserve">Please send your completed form to </w:t>
      </w:r>
      <w:r>
        <w:rPr>
          <w:rStyle w:val="Hyperlink.1"/>
        </w:rPr>
        <w:fldChar w:fldCharType="begin" w:fldLock="0"/>
      </w:r>
      <w:r>
        <w:rPr>
          <w:rStyle w:val="Hyperlink.1"/>
        </w:rPr>
        <w:instrText xml:space="preserve"> HYPERLINK "mailto:ceo@erosh.co.uk"</w:instrText>
      </w:r>
      <w:r>
        <w:rPr>
          <w:rStyle w:val="Hyperlink.1"/>
        </w:rPr>
        <w:fldChar w:fldCharType="separate" w:fldLock="0"/>
      </w:r>
      <w:r>
        <w:rPr>
          <w:rStyle w:val="Hyperlink.1"/>
          <w:rFonts w:cs="Arial Unicode MS" w:eastAsia="Arial Unicode MS"/>
          <w:rtl w:val="0"/>
        </w:rPr>
        <w:t>ceo@erosh.co.uk</w:t>
      </w:r>
      <w:r>
        <w:rPr/>
        <w:fldChar w:fldCharType="end" w:fldLock="0"/>
      </w:r>
      <w:r>
        <w:rPr>
          <w:rFonts w:cs="Arial Unicode MS" w:eastAsia="Arial Unicode MS"/>
          <w:b w:val="1"/>
          <w:bCs w:val="1"/>
          <w:outline w:val="0"/>
          <w:color w:val="0070c0"/>
          <w:u w:color="0070c0"/>
          <w:rtl w:val="0"/>
          <w:lang w:val="en-US"/>
          <w14:textFill>
            <w14:solidFill>
              <w14:srgbClr w14:val="0070C0"/>
            </w14:solidFill>
          </w14:textFill>
        </w:rPr>
        <w:t xml:space="preserve"> </w:t>
      </w:r>
      <w:r>
        <w:rPr>
          <w:rFonts w:cs="Arial Unicode MS" w:eastAsia="Arial Unicode MS"/>
          <w:b w:val="1"/>
          <w:bCs w:val="1"/>
          <w:rtl w:val="0"/>
          <w:lang w:val="en-US"/>
        </w:rPr>
        <w:t>by Friday 19 June 2020.</w:t>
      </w:r>
    </w:p>
    <w:p>
      <w:pPr>
        <w:pStyle w:val="Normal.0"/>
        <w:tabs>
          <w:tab w:val="left" w:pos="4018"/>
        </w:tabs>
      </w:pPr>
      <w:r>
        <w:tab/>
      </w: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55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3"/>
              <w:numPr>
                <w:ilvl w:val="0"/>
                <w:numId w:val="8"/>
              </w:numPr>
              <w:rPr>
                <w:lang w:val="en-US"/>
              </w:rPr>
            </w:pPr>
            <w:r>
              <w:rPr>
                <w:shd w:val="nil" w:color="auto" w:fill="auto"/>
                <w:rtl w:val="0"/>
                <w:lang w:val="en-US"/>
              </w:rPr>
              <w:t xml:space="preserve">Links between housing, health and social care to improve the journey of people affected by dementia </w:t>
            </w:r>
          </w:p>
        </w:tc>
      </w:tr>
      <w:tr>
        <w:tblPrEx>
          <w:shd w:val="clear" w:color="auto" w:fill="ced7e7"/>
        </w:tblPrEx>
        <w:trPr>
          <w:trHeight w:val="7101"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rmal.0"/>
        <w:widowControl w:val="0"/>
        <w:tabs>
          <w:tab w:val="left" w:pos="4018"/>
        </w:tabs>
        <w:spacing w:line="240" w:lineRule="auto"/>
        <w:ind w:left="817" w:hanging="817"/>
      </w:pPr>
    </w:p>
    <w:p>
      <w:pPr>
        <w:pStyle w:val="No Spacing"/>
        <w:rPr>
          <w:sz w:val="22"/>
          <w:szCs w:val="22"/>
        </w:rPr>
      </w:pP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40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3"/>
              <w:numPr>
                <w:ilvl w:val="0"/>
                <w:numId w:val="10"/>
              </w:numPr>
              <w:rPr>
                <w:lang w:val="en-US"/>
              </w:rPr>
            </w:pPr>
            <w:r>
              <w:rPr>
                <w:shd w:val="nil" w:color="auto" w:fill="auto"/>
                <w:rtl w:val="0"/>
                <w:lang w:val="en-US"/>
              </w:rPr>
              <w:t>Design of new homes</w:t>
            </w:r>
          </w:p>
        </w:tc>
      </w:tr>
      <w:tr>
        <w:tblPrEx>
          <w:shd w:val="clear" w:color="auto" w:fill="ced7e7"/>
        </w:tblPrEx>
        <w:trPr>
          <w:trHeight w:val="6689"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 Spacing"/>
        <w:widowControl w:val="0"/>
        <w:spacing w:line="240" w:lineRule="auto"/>
        <w:ind w:left="817" w:hanging="817"/>
        <w:rPr>
          <w:sz w:val="22"/>
          <w:szCs w:val="22"/>
        </w:rPr>
      </w:pPr>
    </w:p>
    <w:p>
      <w:pPr>
        <w:pStyle w:val="No Spacing"/>
        <w:rPr>
          <w:sz w:val="22"/>
          <w:szCs w:val="22"/>
        </w:rPr>
      </w:pP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40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3"/>
              <w:numPr>
                <w:ilvl w:val="0"/>
                <w:numId w:val="12"/>
              </w:numPr>
              <w:rPr>
                <w:lang w:val="en-US"/>
              </w:rPr>
            </w:pPr>
            <w:r>
              <w:rPr>
                <w:shd w:val="nil" w:color="auto" w:fill="auto"/>
                <w:rtl w:val="0"/>
                <w:lang w:val="en-US"/>
              </w:rPr>
              <w:t>How to increase supply of specialist dementia-friendly properties</w:t>
            </w:r>
          </w:p>
        </w:tc>
      </w:tr>
      <w:tr>
        <w:tblPrEx>
          <w:shd w:val="clear" w:color="auto" w:fill="ced7e7"/>
        </w:tblPrEx>
        <w:trPr>
          <w:trHeight w:val="7101"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 Spacing"/>
        <w:widowControl w:val="0"/>
        <w:spacing w:line="240" w:lineRule="auto"/>
        <w:ind w:left="817" w:hanging="817"/>
        <w:rPr>
          <w:sz w:val="22"/>
          <w:szCs w:val="22"/>
        </w:rPr>
      </w:pPr>
    </w:p>
    <w:p>
      <w:pPr>
        <w:pStyle w:val="Normal.0"/>
        <w:spacing w:after="0" w:line="240" w:lineRule="auto"/>
      </w:pP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55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3"/>
              <w:numPr>
                <w:ilvl w:val="0"/>
                <w:numId w:val="14"/>
              </w:numPr>
              <w:rPr>
                <w:lang w:val="en-US"/>
              </w:rPr>
            </w:pPr>
            <w:r>
              <w:rPr>
                <w:shd w:val="nil" w:color="auto" w:fill="auto"/>
                <w:rtl w:val="0"/>
                <w:lang w:val="en-US"/>
              </w:rPr>
              <w:t xml:space="preserve">Changes and adaptations to existing properties to enable people to live well with dementia at home </w:t>
            </w:r>
          </w:p>
        </w:tc>
      </w:tr>
      <w:tr>
        <w:tblPrEx>
          <w:shd w:val="clear" w:color="auto" w:fill="ced7e7"/>
        </w:tblPrEx>
        <w:trPr>
          <w:trHeight w:val="6689"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rmal.0"/>
        <w:widowControl w:val="0"/>
        <w:spacing w:after="0" w:line="240" w:lineRule="auto"/>
        <w:ind w:left="817" w:hanging="817"/>
      </w:pPr>
    </w:p>
    <w:p>
      <w:pPr>
        <w:pStyle w:val="Normal.0"/>
        <w:spacing w:after="0" w:line="240" w:lineRule="auto"/>
        <w:ind w:left="0" w:firstLine="0"/>
      </w:pP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40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3"/>
              <w:numPr>
                <w:ilvl w:val="0"/>
                <w:numId w:val="16"/>
              </w:numPr>
              <w:rPr>
                <w:lang w:val="en-US"/>
              </w:rPr>
            </w:pPr>
            <w:r>
              <w:rPr>
                <w:shd w:val="nil" w:color="auto" w:fill="auto"/>
                <w:rtl w:val="0"/>
                <w:lang w:val="en-US"/>
              </w:rPr>
              <w:t>The role of innovative technology to improve the delivery of better care and support.</w:t>
            </w:r>
          </w:p>
        </w:tc>
      </w:tr>
      <w:tr>
        <w:tblPrEx>
          <w:shd w:val="clear" w:color="auto" w:fill="ced7e7"/>
        </w:tblPrEx>
        <w:trPr>
          <w:trHeight w:val="6689"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rmal.0"/>
        <w:widowControl w:val="0"/>
        <w:spacing w:after="0" w:line="240" w:lineRule="auto"/>
        <w:ind w:left="817" w:hanging="817"/>
      </w:pPr>
    </w:p>
    <w:p>
      <w:pPr>
        <w:pStyle w:val="Normal.0"/>
        <w:spacing w:after="0" w:line="240" w:lineRule="auto"/>
        <w:ind w:left="0" w:firstLine="0"/>
      </w:pPr>
    </w:p>
    <w:tbl>
      <w:tblPr>
        <w:tblW w:w="9781" w:type="dxa"/>
        <w:jc w:val="left"/>
        <w:tblInd w:w="92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857"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e2f3"/>
            <w:tcMar>
              <w:top w:type="dxa" w:w="80"/>
              <w:left w:type="dxa" w:w="80"/>
              <w:bottom w:type="dxa" w:w="80"/>
              <w:right w:type="dxa" w:w="120"/>
            </w:tcMar>
            <w:vAlign w:val="center"/>
          </w:tcPr>
          <w:p>
            <w:pPr>
              <w:pStyle w:val="Heading 5"/>
              <w:spacing w:after="0"/>
            </w:pPr>
            <w:r>
              <w:rPr>
                <w:sz w:val="24"/>
                <w:szCs w:val="24"/>
                <w:shd w:val="nil" w:color="auto" w:fill="auto"/>
                <w:rtl w:val="0"/>
                <w:lang w:val="en-US"/>
              </w:rPr>
              <w:t>Any other points you would suggest  to make about independence and quality of life for people living with dementia (including partners, carers, and family members who live with them)?</w:t>
            </w:r>
          </w:p>
        </w:tc>
      </w:tr>
      <w:tr>
        <w:tblPrEx>
          <w:shd w:val="clear" w:color="auto" w:fill="ced7e7"/>
        </w:tblPrEx>
        <w:trPr>
          <w:trHeight w:val="8551"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0f7ed"/>
            <w:tcMar>
              <w:top w:type="dxa" w:w="80"/>
              <w:left w:type="dxa" w:w="108"/>
              <w:bottom w:type="dxa" w:w="80"/>
              <w:right w:type="dxa" w:w="120"/>
            </w:tcMar>
            <w:vAlign w:val="top"/>
          </w:tcPr>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rPr>
                <w:shd w:val="nil" w:color="auto" w:fill="auto"/>
                <w:lang w:val="en-US"/>
              </w:rPr>
            </w:pPr>
          </w:p>
          <w:p>
            <w:pPr>
              <w:pStyle w:val="Para"/>
              <w:ind w:left="28" w:firstLine="0"/>
            </w:pPr>
            <w:r>
              <w:rPr>
                <w:shd w:val="nil" w:color="auto" w:fill="auto"/>
                <w:lang w:val="en-US"/>
              </w:rPr>
            </w:r>
          </w:p>
        </w:tc>
      </w:tr>
    </w:tbl>
    <w:p>
      <w:pPr>
        <w:pStyle w:val="Normal.0"/>
        <w:widowControl w:val="0"/>
        <w:spacing w:after="0" w:line="240" w:lineRule="auto"/>
        <w:ind w:left="817" w:hanging="817"/>
      </w:pPr>
    </w:p>
    <w:p>
      <w:pPr>
        <w:pStyle w:val="Normal.0"/>
        <w:spacing w:after="0" w:line="240" w:lineRule="auto"/>
        <w:rPr>
          <w:b w:val="1"/>
          <w:bCs w:val="1"/>
          <w:sz w:val="28"/>
          <w:szCs w:val="28"/>
        </w:rPr>
      </w:pPr>
    </w:p>
    <w:p>
      <w:pPr>
        <w:pStyle w:val="Normal.0"/>
      </w:pPr>
      <w:r>
        <w:rPr>
          <w:rFonts w:cs="Arial Unicode MS" w:eastAsia="Arial Unicode MS"/>
          <w:b w:val="1"/>
          <w:bCs w:val="1"/>
          <w:sz w:val="28"/>
          <w:szCs w:val="28"/>
          <w:rtl w:val="0"/>
          <w:lang w:val="en-US"/>
        </w:rPr>
        <w:t xml:space="preserve">Please return to </w:t>
      </w:r>
      <w:r>
        <w:rPr>
          <w:rStyle w:val="Hyperlink.2"/>
        </w:rPr>
        <w:fldChar w:fldCharType="begin" w:fldLock="0"/>
      </w:r>
      <w:r>
        <w:rPr>
          <w:rStyle w:val="Hyperlink.2"/>
        </w:rPr>
        <w:instrText xml:space="preserve"> HYPERLINK "mailto:ceo@erosh.co.uk"</w:instrText>
      </w:r>
      <w:r>
        <w:rPr>
          <w:rStyle w:val="Hyperlink.2"/>
        </w:rPr>
        <w:fldChar w:fldCharType="separate" w:fldLock="0"/>
      </w:r>
      <w:r>
        <w:rPr>
          <w:rStyle w:val="Hyperlink.2"/>
          <w:rFonts w:cs="Arial Unicode MS" w:eastAsia="Arial Unicode MS"/>
          <w:rtl w:val="0"/>
        </w:rPr>
        <w:t>ceo@erosh.co.uk</w:t>
      </w:r>
      <w:r>
        <w:rPr/>
        <w:fldChar w:fldCharType="end" w:fldLock="0"/>
      </w:r>
      <w:r>
        <w:rPr>
          <w:rFonts w:cs="Arial Unicode MS" w:eastAsia="Arial Unicode MS"/>
          <w:b w:val="1"/>
          <w:bCs w:val="1"/>
          <w:sz w:val="28"/>
          <w:szCs w:val="28"/>
          <w:rtl w:val="0"/>
          <w:lang w:val="en-US"/>
        </w:rPr>
        <w:t xml:space="preserve"> by Friday 19 June 2020.</w:t>
      </w:r>
      <w:bookmarkStart w:name="_PictureBullets" w:id="0"/>
    </w:p>
    <w:sectPr>
      <w:headerReference w:type="default" r:id="rId4"/>
      <w:footerReference w:type="default" r:id="rId5"/>
      <w:pgSz w:w="12240" w:h="15840" w:orient="portrait"/>
      <w:pgMar w:top="0" w:right="1440" w:bottom="851" w:left="709" w:header="709"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Wingding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hAnsi="Calibri"/>
        <w:rtl w:val="0"/>
        <w:lang w:val="en-US"/>
      </w:rPr>
      <w:t xml:space="preserve">APPG Inquiry Living with Dementia </w:t>
    </w:r>
    <w:r>
      <w:rPr>
        <w:rFonts w:ascii="Calibri" w:hAnsi="Calibri" w:hint="default"/>
        <w:rtl w:val="0"/>
        <w:lang w:val="en-US"/>
      </w:rPr>
      <w:t xml:space="preserve">– </w:t>
    </w:r>
    <w:r>
      <w:rPr>
        <w:rFonts w:ascii="Calibri" w:hAnsi="Calibri"/>
        <w:rtl w:val="0"/>
        <w:lang w:val="en-US"/>
      </w:rPr>
      <w:t xml:space="preserve">erosh feedback May 2020                                                                                                    </w:t>
    </w:r>
    <w:r>
      <w:rPr>
        <w:rFonts w:ascii="Calibri" w:cs="Calibri" w:hAnsi="Calibri" w:eastAsia="Calibri"/>
        <w:rtl w:val="0"/>
      </w:rPr>
      <w:fldChar w:fldCharType="begin" w:fldLock="0"/>
    </w:r>
    <w:r>
      <w:rPr>
        <w:rFonts w:ascii="Calibri" w:cs="Calibri" w:hAnsi="Calibri" w:eastAsia="Calibri"/>
        <w:rtl w:val="0"/>
      </w:rPr>
      <w:instrText xml:space="preserve"> PAGE </w:instrText>
    </w:r>
    <w:r>
      <w:rPr>
        <w:rFonts w:ascii="Calibri" w:cs="Calibri" w:hAnsi="Calibri" w:eastAsia="Calibri"/>
        <w:rtl w:val="0"/>
      </w:rPr>
      <w:fldChar w:fldCharType="separate" w:fldLock="0"/>
    </w:r>
    <w:r>
      <w:rPr>
        <w:rFonts w:ascii="Calibri" w:cs="Calibri" w:hAnsi="Calibri" w:eastAsia="Calibri"/>
        <w:rtl w:val="0"/>
      </w:rPr>
    </w:r>
    <w:r>
      <w:rPr>
        <w:rFonts w:ascii="Calibri" w:cs="Calibri" w:hAnsi="Calibri" w:eastAsia="Calibri"/>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8640"/>
      </w:tabs>
    </w:pPr>
    <w:r>
      <w:drawing>
        <wp:anchor distT="152400" distB="152400" distL="152400" distR="152400" simplePos="0" relativeHeight="251658240" behindDoc="1" locked="0" layoutInCell="1" allowOverlap="1">
          <wp:simplePos x="0" y="0"/>
          <wp:positionH relativeFrom="page">
            <wp:posOffset>450215</wp:posOffset>
          </wp:positionH>
          <wp:positionV relativeFrom="page">
            <wp:posOffset>450215</wp:posOffset>
          </wp:positionV>
          <wp:extent cx="1566545" cy="5549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1566545" cy="554991"/>
                  </a:xfrm>
                  <a:prstGeom prst="rect">
                    <a:avLst/>
                  </a:prstGeom>
                  <a:ln w="12700" cap="flat">
                    <a:noFill/>
                    <a:miter lim="400000"/>
                  </a:ln>
                  <a:effectLst/>
                </pic:spPr>
              </pic:pic>
            </a:graphicData>
          </a:graphic>
        </wp:anchor>
      </w:drawing>
    </w:r>
    <w:r>
      <w:rPr>
        <w:rtl w:val="0"/>
      </w:rPr>
      <w:t xml:space="preserve">                                                                                                                                          </w:t>
    </w:r>
    <w:r>
      <w:rPr>
        <w:rtl w:val="0"/>
        <w:lang w:val="en-US"/>
      </w:rPr>
      <w:t xml:space="preserve">     </w:t>
    </w:r>
    <w:r>
      <w:rPr>
        <w:rtl w:val="0"/>
      </w:rPr>
      <w:t xml:space="preserve">                     </w:t>
    </w:r>
    <w:r>
      <mc:AlternateContent>
        <mc:Choice Requires="wps">
          <w:drawing>
            <wp:inline distT="0" distB="0" distL="0" distR="0">
              <wp:extent cx="1566545" cy="554991"/>
              <wp:effectExtent l="0" t="0" r="0" b="0"/>
              <wp:docPr id="1073741825" name="officeArt object"/>
              <wp:cNvGraphicFramePr/>
              <a:graphic xmlns:a="http://schemas.openxmlformats.org/drawingml/2006/main">
                <a:graphicData uri="http://schemas.microsoft.com/office/word/2010/wordprocessingShape">
                  <wps:wsp>
                    <wps:cNvSpPr/>
                    <wps:spPr>
                      <a:xfrm>
                        <a:off x="0" y="0"/>
                        <a:ext cx="1566545" cy="554991"/>
                      </a:xfrm>
                      <a:prstGeom prst="rect">
                        <a:avLst/>
                      </a:prstGeom>
                      <a:noFill/>
                      <a:ln w="12700" cap="flat">
                        <a:noFill/>
                        <a:miter lim="400000"/>
                      </a:ln>
                      <a:effectLst/>
                    </wps:spPr>
                    <wps:bodyPr/>
                  </wps:wsp>
                </a:graphicData>
              </a:graphic>
            </wp:inline>
          </w:drawing>
        </mc:Choice>
        <mc:Fallback>
          <w:pict>
            <v:rect id="_x0000_s1027" style="visibility:visible;width:123.3pt;height:43.7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pPr>
  </w:p>
  <w:p>
    <w:pPr>
      <w:pStyle w:val="Normal.0"/>
    </w:pPr>
  </w:p>
  <w:p>
    <w:pPr>
      <w:pStyle w:val="Normal.0"/>
    </w:pPr>
  </w:p>
  <w:p>
    <w:pPr>
      <w:pStyle w:val="Normal.0"/>
    </w:pPr>
  </w:p>
  <w:p>
    <w:pPr>
      <w:pStyle w:val="Normal.0"/>
    </w:pPr>
  </w:p>
  <w:p>
    <w:pPr>
      <w:pStyle w:val="Normal.0"/>
    </w:pPr>
  </w:p>
  <w:p>
    <w:pPr>
      <w:pStyle w:val="Norm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4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4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7"/>
  </w:abstractNum>
  <w:abstractNum w:abstractNumId="3">
    <w:multiLevelType w:val="hybridMultilevel"/>
    <w:styleLink w:val="Imported Style 7"/>
    <w:lvl w:ilvl="0">
      <w:start w:val="1"/>
      <w:numFmt w:val="bullet"/>
      <w:suff w:val="tab"/>
      <w:lvlText w:val="➢"/>
      <w:lvlJc w:val="left"/>
      <w:pPr>
        <w:ind w:left="113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1">
      <w:start w:val="1"/>
      <w:numFmt w:val="bullet"/>
      <w:suff w:val="tab"/>
      <w:lvlText w:val="o"/>
      <w:lvlJc w:val="left"/>
      <w:pPr>
        <w:ind w:left="1854" w:hanging="425"/>
      </w:pPr>
      <w:rPr>
        <w:rFonts w:ascii="Wingdings" w:cs="Wingdings" w:hAnsi="Wingdings" w:eastAsia="Wingding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2">
      <w:start w:val="1"/>
      <w:numFmt w:val="bullet"/>
      <w:suff w:val="tab"/>
      <w:lvlText w:val="▪"/>
      <w:lvlJc w:val="left"/>
      <w:pPr>
        <w:ind w:left="257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3">
      <w:start w:val="1"/>
      <w:numFmt w:val="bullet"/>
      <w:suff w:val="tab"/>
      <w:lvlText w:val="•"/>
      <w:lvlJc w:val="left"/>
      <w:pPr>
        <w:ind w:left="329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4">
      <w:start w:val="1"/>
      <w:numFmt w:val="bullet"/>
      <w:suff w:val="tab"/>
      <w:lvlText w:val="o"/>
      <w:lvlJc w:val="left"/>
      <w:pPr>
        <w:ind w:left="4014" w:hanging="425"/>
      </w:pPr>
      <w:rPr>
        <w:rFonts w:ascii="Wingdings" w:cs="Wingdings" w:hAnsi="Wingdings" w:eastAsia="Wingding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5">
      <w:start w:val="1"/>
      <w:numFmt w:val="bullet"/>
      <w:suff w:val="tab"/>
      <w:lvlText w:val="▪"/>
      <w:lvlJc w:val="left"/>
      <w:pPr>
        <w:ind w:left="473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6">
      <w:start w:val="1"/>
      <w:numFmt w:val="bullet"/>
      <w:suff w:val="tab"/>
      <w:lvlText w:val="•"/>
      <w:lvlJc w:val="left"/>
      <w:pPr>
        <w:ind w:left="545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7">
      <w:start w:val="1"/>
      <w:numFmt w:val="bullet"/>
      <w:suff w:val="tab"/>
      <w:lvlText w:val="o"/>
      <w:lvlJc w:val="left"/>
      <w:pPr>
        <w:ind w:left="6174" w:hanging="425"/>
      </w:pPr>
      <w:rPr>
        <w:rFonts w:ascii="Wingdings" w:cs="Wingdings" w:hAnsi="Wingdings" w:eastAsia="Wingdings"/>
        <w:b w:val="0"/>
        <w:bCs w:val="0"/>
        <w:i w:val="0"/>
        <w:iCs w:val="0"/>
        <w:caps w:val="0"/>
        <w:smallCaps w:val="0"/>
        <w:strike w:val="0"/>
        <w:dstrike w:val="0"/>
        <w:outline w:val="0"/>
        <w:emboss w:val="0"/>
        <w:imprint w:val="0"/>
        <w:color w:val="00b050"/>
        <w:spacing w:val="0"/>
        <w:w w:val="100"/>
        <w:kern w:val="0"/>
        <w:position w:val="0"/>
        <w:highlight w:val="none"/>
        <w:vertAlign w:val="baseline"/>
      </w:rPr>
    </w:lvl>
    <w:lvl w:ilvl="8">
      <w:start w:val="1"/>
      <w:numFmt w:val="bullet"/>
      <w:suff w:val="tab"/>
      <w:lvlText w:val="▪"/>
      <w:lvlJc w:val="left"/>
      <w:pPr>
        <w:ind w:left="6894" w:hanging="425"/>
      </w:pPr>
      <w:rPr>
        <w:rFonts w:ascii="Arial Unicode MS" w:cs="Arial Unicode MS" w:hAnsi="Arial Unicode MS" w:eastAsia="Arial Unicode MS"/>
        <w:b w:val="0"/>
        <w:bCs w:val="0"/>
        <w:i w:val="0"/>
        <w:iCs w:val="0"/>
        <w:caps w:val="0"/>
        <w:smallCaps w:val="0"/>
        <w:strike w:val="0"/>
        <w:dstrike w:val="0"/>
        <w:outline w:val="0"/>
        <w:emboss w:val="0"/>
        <w:imprint w:val="0"/>
        <w:color w:val="00b050"/>
        <w:spacing w:val="0"/>
        <w:w w:val="100"/>
        <w:kern w:val="0"/>
        <w:position w:val="0"/>
        <w:highlight w:val="none"/>
        <w:vertAlign w:val="baseline"/>
      </w:rPr>
    </w:lvl>
  </w:abstractNum>
  <w:abstractNum w:abstractNumId="4">
    <w:multiLevelType w:val="hybridMultilevel"/>
    <w:numStyleLink w:val="Imported Style 8"/>
  </w:abstractNum>
  <w:abstractNum w:abstractNumId="5">
    <w:multiLevelType w:val="hybridMultilevel"/>
    <w:styleLink w:val="Imported Style 8"/>
    <w:lvl w:ilvl="0">
      <w:start w:val="1"/>
      <w:numFmt w:val="decimal"/>
      <w:suff w:val="tab"/>
      <w:lvlText w:val="%1."/>
      <w:lvlJc w:val="left"/>
      <w:pPr>
        <w:ind w:left="1134"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color w:val="00b05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decimal"/>
      <w:suff w:val="tab"/>
      <w:lvlText w:val="%1."/>
      <w:lvlJc w:val="left"/>
      <w:pPr>
        <w:ind w:left="45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9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3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5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7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98"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18"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6"/>
  </w:num>
  <w:num w:numId="9">
    <w:abstractNumId w:val="7"/>
  </w:num>
  <w:num w:numId="10">
    <w:abstractNumId w:val="7"/>
    <w:lvlOverride w:ilvl="0">
      <w:startOverride w:val="2"/>
    </w:lvlOverride>
  </w:num>
  <w:num w:numId="11">
    <w:abstractNumId w:val="8"/>
  </w:num>
  <w:num w:numId="12">
    <w:abstractNumId w:val="8"/>
    <w:lvlOverride w:ilvl="0">
      <w:startOverride w:val="3"/>
    </w:lvlOverride>
  </w:num>
  <w:num w:numId="13">
    <w:abstractNumId w:val="9"/>
  </w:num>
  <w:num w:numId="14">
    <w:abstractNumId w:val="9"/>
    <w:lvlOverride w:ilvl="0">
      <w:startOverride w:val="4"/>
    </w:lvlOverride>
  </w:num>
  <w:num w:numId="15">
    <w:abstractNumId w:val="10"/>
  </w:num>
  <w:num w:numId="16">
    <w:abstractNumId w:val="1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240" w:line="276"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40" w:line="276" w:lineRule="auto"/>
      <w:ind w:left="709"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40" w:line="276" w:lineRule="auto"/>
      <w:ind w:left="70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Fill>
        <w14:solidFill>
          <w14:srgbClr w14:val="000000"/>
        </w14:solidFill>
      </w14:textFill>
    </w:rPr>
  </w:style>
  <w:style w:type="paragraph" w:styleId="Subtitle">
    <w:name w:val="Subtitle"/>
    <w:next w:val="Normal.0"/>
    <w:pPr>
      <w:keepNext w:val="0"/>
      <w:keepLines w:val="0"/>
      <w:pageBreakBefore w:val="0"/>
      <w:widowControl w:val="1"/>
      <w:shd w:val="clear" w:color="auto" w:fill="auto"/>
      <w:suppressAutoHyphens w:val="0"/>
      <w:bidi w:val="0"/>
      <w:spacing w:before="0" w:after="0" w:line="240" w:lineRule="auto"/>
      <w:ind w:left="709" w:right="0" w:firstLine="0"/>
      <w:jc w:val="left"/>
      <w:outlineLvl w:val="0"/>
    </w:pPr>
    <w:rPr>
      <w:rFonts w:ascii="Calibri" w:cs="Arial Unicode MS" w:hAnsi="Calibri" w:eastAsia="Arial Unicode MS"/>
      <w:b w:val="1"/>
      <w:bCs w:val="1"/>
      <w:i w:val="0"/>
      <w:iCs w:val="0"/>
      <w:caps w:val="0"/>
      <w:smallCaps w:val="0"/>
      <w:strike w:val="0"/>
      <w:dstrike w:val="0"/>
      <w:outline w:val="0"/>
      <w:color w:val="2e74b5"/>
      <w:spacing w:val="0"/>
      <w:kern w:val="28"/>
      <w:position w:val="0"/>
      <w:sz w:val="32"/>
      <w:szCs w:val="32"/>
      <w:u w:val="none" w:color="2e74b5"/>
      <w:shd w:val="nil" w:color="auto" w:fill="auto"/>
      <w:vertAlign w:val="baseline"/>
      <w:lang w:val="en-US"/>
      <w14:textOutline>
        <w14:noFill/>
      </w14:textOutline>
      <w14:textFill>
        <w14:solidFill>
          <w14:srgbClr w14:val="2E74B5"/>
        </w14:solidFill>
      </w14:textFill>
    </w:rPr>
  </w:style>
  <w:style w:type="paragraph" w:styleId="Heading 1">
    <w:name w:val="Heading 1"/>
    <w:next w:val="Normal.0"/>
    <w:pPr>
      <w:keepNext w:val="0"/>
      <w:keepLines w:val="0"/>
      <w:pageBreakBefore w:val="0"/>
      <w:widowControl w:val="1"/>
      <w:shd w:val="clear" w:color="auto" w:fill="auto"/>
      <w:suppressAutoHyphens w:val="0"/>
      <w:bidi w:val="0"/>
      <w:spacing w:before="240" w:after="240" w:line="240" w:lineRule="auto"/>
      <w:ind w:left="0" w:right="0" w:firstLine="0"/>
      <w:jc w:val="left"/>
      <w:outlineLvl w:val="0"/>
    </w:pPr>
    <w:rPr>
      <w:rFonts w:ascii="Calibri" w:cs="Arial Unicode MS" w:hAnsi="Calibri" w:eastAsia="Arial Unicode MS"/>
      <w:b w:val="1"/>
      <w:bCs w:val="1"/>
      <w:i w:val="0"/>
      <w:iCs w:val="0"/>
      <w:caps w:val="0"/>
      <w:smallCaps w:val="0"/>
      <w:strike w:val="0"/>
      <w:dstrike w:val="0"/>
      <w:outline w:val="0"/>
      <w:color w:val="2e74b5"/>
      <w:spacing w:val="0"/>
      <w:kern w:val="0"/>
      <w:position w:val="0"/>
      <w:sz w:val="32"/>
      <w:szCs w:val="32"/>
      <w:u w:val="none" w:color="2e74b5"/>
      <w:shd w:val="nil" w:color="auto" w:fill="auto"/>
      <w:vertAlign w:val="baseline"/>
      <w:lang w:val="en-US"/>
      <w14:textOutline>
        <w14:noFill/>
      </w14:textOutline>
      <w14:textFill>
        <w14:solidFill>
          <w14:srgbClr w14:val="2E74B5"/>
        </w14:solidFill>
      </w14:textFill>
    </w:rPr>
  </w:style>
  <w:style w:type="numbering" w:styleId="Imported Style 1">
    <w:name w:val="Imported Style 1"/>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70c0"/>
      <w:sz w:val="24"/>
      <w:szCs w:val="24"/>
      <w:u w:color="0070c0"/>
      <w14:textFill>
        <w14:solidFill>
          <w14:srgbClr w14:val="0070C0"/>
        </w14:solidFill>
      </w14:textFill>
    </w:rPr>
  </w:style>
  <w:style w:type="paragraph" w:styleId="Para">
    <w:name w:val="Para"/>
    <w:next w:val="Para"/>
    <w:pPr>
      <w:keepNext w:val="0"/>
      <w:keepLines w:val="0"/>
      <w:pageBreakBefore w:val="0"/>
      <w:widowControl w:val="1"/>
      <w:shd w:val="clear" w:color="auto" w:fill="auto"/>
      <w:suppressAutoHyphens w:val="0"/>
      <w:bidi w:val="0"/>
      <w:spacing w:before="120" w:after="120" w:line="276" w:lineRule="auto"/>
      <w:ind w:left="709" w:right="4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ulleted list">
    <w:name w:val="Bulleted list"/>
    <w:next w:val="Bulleted list"/>
    <w:pPr>
      <w:keepNext w:val="0"/>
      <w:keepLines w:val="0"/>
      <w:pageBreakBefore w:val="0"/>
      <w:widowControl w:val="1"/>
      <w:shd w:val="clear" w:color="auto" w:fill="auto"/>
      <w:suppressAutoHyphens w:val="0"/>
      <w:bidi w:val="0"/>
      <w:spacing w:before="120" w:after="120" w:line="276" w:lineRule="auto"/>
      <w:ind w:left="0" w:right="4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7">
    <w:name w:val="Imported Style 7"/>
    <w:pPr>
      <w:numPr>
        <w:numId w:val="3"/>
      </w:numPr>
    </w:pPr>
  </w:style>
  <w:style w:type="paragraph" w:styleId="Bullets A">
    <w:name w:val="Bullets A"/>
    <w:next w:val="Bullets A"/>
    <w:pPr>
      <w:keepNext w:val="0"/>
      <w:keepLines w:val="0"/>
      <w:pageBreakBefore w:val="0"/>
      <w:widowControl w:val="1"/>
      <w:shd w:val="clear" w:color="auto" w:fill="auto"/>
      <w:suppressAutoHyphens w:val="0"/>
      <w:bidi w:val="0"/>
      <w:spacing w:before="120" w:after="12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8">
    <w:name w:val="Imported Style 8"/>
    <w:pPr>
      <w:numPr>
        <w:numId w:val="6"/>
      </w:numPr>
    </w:pPr>
  </w:style>
  <w:style w:type="character" w:styleId="Hyperlink.1">
    <w:name w:val="Hyperlink.1"/>
    <w:basedOn w:val="Link"/>
    <w:next w:val="Hyperlink.1"/>
    <w:rPr>
      <w:rFonts w:ascii="Calibri" w:cs="Calibri" w:hAnsi="Calibri" w:eastAsia="Calibri"/>
      <w:b w:val="1"/>
      <w:bCs w:val="1"/>
      <w:outline w:val="0"/>
      <w:color w:val="0070c0"/>
      <w:u w:color="0070c0"/>
      <w14:textFill>
        <w14:solidFill>
          <w14:srgbClr w14:val="0070C0"/>
        </w14:solidFill>
      </w14:textFill>
    </w:rPr>
  </w:style>
  <w:style w:type="paragraph" w:styleId="Heading 3">
    <w:name w:val="Heading 3"/>
    <w:next w:val="Normal.0"/>
    <w:pPr>
      <w:keepNext w:val="0"/>
      <w:keepLines w:val="0"/>
      <w:pageBreakBefore w:val="0"/>
      <w:widowControl w:val="1"/>
      <w:shd w:val="clear" w:color="auto" w:fill="auto"/>
      <w:suppressAutoHyphens w:val="0"/>
      <w:bidi w:val="0"/>
      <w:spacing w:before="0" w:after="0" w:line="240" w:lineRule="auto"/>
      <w:ind w:left="0" w:right="4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40" w:line="276" w:lineRule="auto"/>
      <w:ind w:left="709"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en-US"/>
      <w14:textFill>
        <w14:solidFill>
          <w14:srgbClr w14:val="000000"/>
        </w14:solidFill>
      </w14:textFill>
    </w:rPr>
  </w:style>
  <w:style w:type="paragraph" w:styleId="Heading 5">
    <w:name w:val="Heading 5"/>
    <w:next w:val="Normal.0"/>
    <w:pPr>
      <w:keepNext w:val="0"/>
      <w:keepLines w:val="0"/>
      <w:pageBreakBefore w:val="0"/>
      <w:widowControl w:val="1"/>
      <w:shd w:val="clear" w:color="auto" w:fill="auto"/>
      <w:suppressAutoHyphens w:val="0"/>
      <w:bidi w:val="0"/>
      <w:spacing w:before="0" w:after="80" w:line="240" w:lineRule="auto"/>
      <w:ind w:left="0" w:right="40" w:firstLine="0"/>
      <w:jc w:val="left"/>
      <w:outlineLvl w:val="2"/>
    </w:pP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2">
    <w:name w:val="Hyperlink.2"/>
    <w:basedOn w:val="Link"/>
    <w:next w:val="Hyperlink.2"/>
    <w:rPr>
      <w:rFonts w:ascii="Calibri" w:cs="Calibri" w:hAnsi="Calibri" w:eastAsia="Calibri"/>
      <w:b w:val="1"/>
      <w:bCs w:val="1"/>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